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5D6" w:rsidRPr="007F61ED" w:rsidRDefault="007F61ED" w:rsidP="001C05D6">
      <w:pPr>
        <w:spacing w:line="480" w:lineRule="auto"/>
        <w:jc w:val="center"/>
        <w:rPr>
          <w:rFonts w:ascii="Times New Roman" w:hAnsi="Times New Roman" w:cs="Times New Roman"/>
          <w:b/>
          <w:sz w:val="24"/>
          <w:szCs w:val="24"/>
        </w:rPr>
      </w:pPr>
      <w:r w:rsidRPr="007F61ED">
        <w:rPr>
          <w:rFonts w:ascii="Times New Roman" w:hAnsi="Times New Roman" w:cs="Times New Roman"/>
          <w:b/>
          <w:sz w:val="24"/>
          <w:szCs w:val="24"/>
        </w:rPr>
        <w:t>Social Media in Healthcare Marketing</w:t>
      </w:r>
    </w:p>
    <w:p w:rsidR="00AA6E1F" w:rsidRPr="007F61ED" w:rsidRDefault="007F61ED" w:rsidP="008A7583">
      <w:pPr>
        <w:spacing w:line="480" w:lineRule="auto"/>
        <w:rPr>
          <w:rFonts w:ascii="Times New Roman" w:hAnsi="Times New Roman" w:cs="Times New Roman"/>
          <w:b/>
          <w:sz w:val="24"/>
          <w:szCs w:val="24"/>
        </w:rPr>
      </w:pPr>
      <w:r w:rsidRPr="007F61ED">
        <w:rPr>
          <w:rFonts w:ascii="Times New Roman" w:hAnsi="Times New Roman" w:cs="Times New Roman"/>
          <w:sz w:val="24"/>
          <w:szCs w:val="24"/>
        </w:rPr>
        <w:tab/>
      </w:r>
      <w:r w:rsidR="00AA6E1F" w:rsidRPr="007F61ED">
        <w:rPr>
          <w:rFonts w:ascii="Times New Roman" w:hAnsi="Times New Roman" w:cs="Times New Roman"/>
          <w:sz w:val="24"/>
          <w:szCs w:val="24"/>
        </w:rPr>
        <w:t>Healthcare marketing is a technique to promote health, where marketing approaches and science-based tools cooperate to meet different populations' needs. The marketing uses social media tools w</w:t>
      </w:r>
      <w:r w:rsidR="00192954" w:rsidRPr="007F61ED">
        <w:rPr>
          <w:rFonts w:ascii="Times New Roman" w:hAnsi="Times New Roman" w:cs="Times New Roman"/>
          <w:sz w:val="24"/>
          <w:szCs w:val="24"/>
        </w:rPr>
        <w:t>h</w:t>
      </w:r>
      <w:r w:rsidR="00AA6E1F" w:rsidRPr="007F61ED">
        <w:rPr>
          <w:rFonts w:ascii="Times New Roman" w:hAnsi="Times New Roman" w:cs="Times New Roman"/>
          <w:sz w:val="24"/>
          <w:szCs w:val="24"/>
        </w:rPr>
        <w:t xml:space="preserve">ere both benefits and </w:t>
      </w:r>
      <w:r w:rsidR="008A7583" w:rsidRPr="007F61ED">
        <w:rPr>
          <w:rFonts w:ascii="Times New Roman" w:hAnsi="Times New Roman" w:cs="Times New Roman"/>
          <w:sz w:val="24"/>
          <w:szCs w:val="24"/>
        </w:rPr>
        <w:t xml:space="preserve">limitations are evident. </w:t>
      </w:r>
      <w:r w:rsidRPr="007F61ED">
        <w:rPr>
          <w:rFonts w:ascii="Times New Roman" w:hAnsi="Times New Roman" w:cs="Times New Roman"/>
          <w:sz w:val="24"/>
          <w:szCs w:val="24"/>
        </w:rPr>
        <w:t xml:space="preserve">Using social media in healthcare marketing is beneficial as the clients are online. The platform helps access many patients and engages them </w:t>
      </w:r>
      <w:r w:rsidR="00254AD4" w:rsidRPr="007F61ED">
        <w:rPr>
          <w:rFonts w:ascii="Times New Roman" w:hAnsi="Times New Roman" w:cs="Times New Roman"/>
          <w:sz w:val="24"/>
          <w:szCs w:val="24"/>
        </w:rPr>
        <w:t>in various areas (</w:t>
      </w:r>
      <w:r w:rsidR="00254AD4" w:rsidRPr="007F61ED">
        <w:rPr>
          <w:rFonts w:ascii="Times New Roman" w:hAnsi="Times New Roman" w:cs="Times New Roman"/>
          <w:color w:val="222222"/>
          <w:sz w:val="24"/>
          <w:szCs w:val="24"/>
          <w:shd w:val="clear" w:color="auto" w:fill="FFFFFF"/>
        </w:rPr>
        <w:t>Singh et al., 2016).</w:t>
      </w:r>
      <w:r w:rsidRPr="007F61ED">
        <w:rPr>
          <w:rFonts w:ascii="Times New Roman" w:hAnsi="Times New Roman" w:cs="Times New Roman"/>
          <w:sz w:val="24"/>
          <w:szCs w:val="24"/>
        </w:rPr>
        <w:t xml:space="preserve"> The information conveyed via the tools is therefore</w:t>
      </w:r>
      <w:r w:rsidRPr="007F61ED">
        <w:rPr>
          <w:rFonts w:ascii="Times New Roman" w:hAnsi="Times New Roman" w:cs="Times New Roman"/>
          <w:sz w:val="24"/>
          <w:szCs w:val="24"/>
        </w:rPr>
        <w:t xml:space="preserve"> broad, thus promoting their wellbeing.  The platform also established an approachable practice, where the </w:t>
      </w:r>
      <w:r w:rsidR="003635A6" w:rsidRPr="007F61ED">
        <w:rPr>
          <w:rFonts w:ascii="Times New Roman" w:hAnsi="Times New Roman" w:cs="Times New Roman"/>
          <w:sz w:val="24"/>
          <w:szCs w:val="24"/>
        </w:rPr>
        <w:t>patients learn about the practitioners before the interaction. It is the case because the clinicians' details are provided online, so a lot of hours are not spent creat</w:t>
      </w:r>
      <w:r w:rsidR="00192954" w:rsidRPr="007F61ED">
        <w:rPr>
          <w:rFonts w:ascii="Times New Roman" w:hAnsi="Times New Roman" w:cs="Times New Roman"/>
          <w:sz w:val="24"/>
          <w:szCs w:val="24"/>
        </w:rPr>
        <w:t xml:space="preserve">ing a rapport between the two. </w:t>
      </w:r>
      <w:r w:rsidR="003635A6" w:rsidRPr="007F61ED">
        <w:rPr>
          <w:rFonts w:ascii="Times New Roman" w:hAnsi="Times New Roman" w:cs="Times New Roman"/>
          <w:sz w:val="24"/>
          <w:szCs w:val="24"/>
        </w:rPr>
        <w:t>The approachable practice</w:t>
      </w:r>
      <w:r w:rsidR="00270176" w:rsidRPr="007F61ED">
        <w:rPr>
          <w:rFonts w:ascii="Times New Roman" w:hAnsi="Times New Roman" w:cs="Times New Roman"/>
          <w:sz w:val="24"/>
          <w:szCs w:val="24"/>
        </w:rPr>
        <w:t xml:space="preserve"> supports health promotion because clients' expectations are met, unlike the physical interaction where they know nothing about the practitioner. Also, social media lightens the mood, especially while dealing with chronic illnesses patients. With social media, practitioners incorporate laughter, make the clients positive, and implement the needed management strategies.  </w:t>
      </w:r>
    </w:p>
    <w:p w:rsidR="00B32FB2" w:rsidRPr="007F61ED" w:rsidRDefault="007F61ED" w:rsidP="008A7583">
      <w:pPr>
        <w:spacing w:after="0" w:line="480" w:lineRule="auto"/>
        <w:ind w:firstLine="720"/>
        <w:contextualSpacing/>
        <w:rPr>
          <w:rFonts w:ascii="Times New Roman" w:hAnsi="Times New Roman" w:cs="Times New Roman"/>
          <w:sz w:val="24"/>
          <w:szCs w:val="24"/>
        </w:rPr>
      </w:pPr>
      <w:r w:rsidRPr="007F61ED">
        <w:rPr>
          <w:rFonts w:ascii="Times New Roman" w:hAnsi="Times New Roman" w:cs="Times New Roman"/>
          <w:sz w:val="24"/>
          <w:szCs w:val="24"/>
        </w:rPr>
        <w:t>Contrarily, u</w:t>
      </w:r>
      <w:r w:rsidR="0040354D" w:rsidRPr="007F61ED">
        <w:rPr>
          <w:rFonts w:ascii="Times New Roman" w:hAnsi="Times New Roman" w:cs="Times New Roman"/>
          <w:sz w:val="24"/>
          <w:szCs w:val="24"/>
        </w:rPr>
        <w:t xml:space="preserve">sing social media </w:t>
      </w:r>
      <w:r w:rsidR="00BC5929" w:rsidRPr="007F61ED">
        <w:rPr>
          <w:rFonts w:ascii="Times New Roman" w:hAnsi="Times New Roman" w:cs="Times New Roman"/>
          <w:sz w:val="24"/>
          <w:szCs w:val="24"/>
        </w:rPr>
        <w:t>in healthcare marketing is disadvantageous due to HIPAA compliance. Practitioners should ensure patients' privacy and protect their data from hac</w:t>
      </w:r>
      <w:r w:rsidR="00254AD4" w:rsidRPr="007F61ED">
        <w:rPr>
          <w:rFonts w:ascii="Times New Roman" w:hAnsi="Times New Roman" w:cs="Times New Roman"/>
          <w:sz w:val="24"/>
          <w:szCs w:val="24"/>
        </w:rPr>
        <w:t>kers among other data criminals (</w:t>
      </w:r>
      <w:r>
        <w:rPr>
          <w:rFonts w:ascii="Times New Roman" w:hAnsi="Times New Roman" w:cs="Times New Roman"/>
          <w:color w:val="222222"/>
          <w:sz w:val="24"/>
          <w:szCs w:val="24"/>
          <w:shd w:val="clear" w:color="auto" w:fill="FFFFFF"/>
        </w:rPr>
        <w:t xml:space="preserve">Avadhani, </w:t>
      </w:r>
      <w:r w:rsidRPr="007F61ED">
        <w:rPr>
          <w:rFonts w:ascii="Times New Roman" w:hAnsi="Times New Roman" w:cs="Times New Roman"/>
          <w:color w:val="222222"/>
          <w:sz w:val="24"/>
          <w:szCs w:val="24"/>
          <w:shd w:val="clear" w:color="auto" w:fill="FFFFFF"/>
        </w:rPr>
        <w:t>2020</w:t>
      </w:r>
      <w:r w:rsidR="00254AD4" w:rsidRPr="007F61ED">
        <w:rPr>
          <w:rFonts w:ascii="Times New Roman" w:hAnsi="Times New Roman" w:cs="Times New Roman"/>
          <w:color w:val="222222"/>
          <w:sz w:val="24"/>
          <w:szCs w:val="24"/>
          <w:shd w:val="clear" w:color="auto" w:fill="FFFFFF"/>
        </w:rPr>
        <w:t>).</w:t>
      </w:r>
      <w:r w:rsidR="00BC5929" w:rsidRPr="007F61ED">
        <w:rPr>
          <w:rFonts w:ascii="Times New Roman" w:hAnsi="Times New Roman" w:cs="Times New Roman"/>
          <w:sz w:val="24"/>
          <w:szCs w:val="24"/>
        </w:rPr>
        <w:t xml:space="preserve"> Even though the HIPAA has provided guidelines such as de-identification where confidential details are not included online, practitioners live in fear of breaking the law as it would attract huge fines. The other challenge concerns the practitioner's professional reputation. Unlike other sectors where social media is accepted, the healthcare sector is perceived sensitive. It has made the public consider online </w:t>
      </w:r>
      <w:r w:rsidRPr="007F61ED">
        <w:rPr>
          <w:rFonts w:ascii="Times New Roman" w:hAnsi="Times New Roman" w:cs="Times New Roman"/>
          <w:sz w:val="24"/>
          <w:szCs w:val="24"/>
        </w:rPr>
        <w:t xml:space="preserve">care providers less competent. </w:t>
      </w:r>
      <w:r w:rsidR="00BC5929" w:rsidRPr="007F61ED">
        <w:rPr>
          <w:rFonts w:ascii="Times New Roman" w:hAnsi="Times New Roman" w:cs="Times New Roman"/>
          <w:sz w:val="24"/>
          <w:szCs w:val="24"/>
        </w:rPr>
        <w:t xml:space="preserve">Moreover, social media offers more information on the practitioners that would make patients have too much information about them, that professional reputation is altered. Another issue in using social media for medical care marketing is the fear of negative responses that reach many patients as the spread would </w:t>
      </w:r>
      <w:r w:rsidR="00BC5929" w:rsidRPr="007F61ED">
        <w:rPr>
          <w:rFonts w:ascii="Times New Roman" w:hAnsi="Times New Roman" w:cs="Times New Roman"/>
          <w:sz w:val="24"/>
          <w:szCs w:val="24"/>
        </w:rPr>
        <w:lastRenderedPageBreak/>
        <w:t>affect facilities' and clinicians' reputation.</w:t>
      </w:r>
      <w:r w:rsidRPr="007F61ED">
        <w:rPr>
          <w:rFonts w:ascii="Times New Roman" w:hAnsi="Times New Roman" w:cs="Times New Roman"/>
          <w:sz w:val="24"/>
          <w:szCs w:val="24"/>
        </w:rPr>
        <w:t>Therefore, social media healthcare marketing is beneficial as clients are online; it is an approachable practice and lightens the patients' moods. However, it is limiting due to HIPAA regulations, professional reputat</w:t>
      </w:r>
      <w:r w:rsidRPr="007F61ED">
        <w:rPr>
          <w:rFonts w:ascii="Times New Roman" w:hAnsi="Times New Roman" w:cs="Times New Roman"/>
          <w:sz w:val="24"/>
          <w:szCs w:val="24"/>
        </w:rPr>
        <w:t>ion, and fear of negative comments.</w:t>
      </w:r>
    </w:p>
    <w:p w:rsidR="007F61ED" w:rsidRPr="007F61ED" w:rsidRDefault="007F61ED" w:rsidP="007F61ED">
      <w:pPr>
        <w:tabs>
          <w:tab w:val="center" w:pos="4513"/>
        </w:tabs>
        <w:spacing w:line="480" w:lineRule="auto"/>
        <w:rPr>
          <w:rFonts w:ascii="Times New Roman" w:hAnsi="Times New Roman" w:cs="Times New Roman"/>
          <w:b/>
          <w:sz w:val="24"/>
          <w:szCs w:val="24"/>
        </w:rPr>
      </w:pPr>
      <w:r w:rsidRPr="007F61ED">
        <w:rPr>
          <w:rFonts w:ascii="Times New Roman" w:hAnsi="Times New Roman" w:cs="Times New Roman"/>
          <w:b/>
          <w:sz w:val="24"/>
          <w:szCs w:val="24"/>
        </w:rPr>
        <w:tab/>
      </w:r>
      <w:r w:rsidR="004955D1" w:rsidRPr="007F61ED">
        <w:rPr>
          <w:rFonts w:ascii="Times New Roman" w:hAnsi="Times New Roman" w:cs="Times New Roman"/>
          <w:b/>
          <w:sz w:val="24"/>
          <w:szCs w:val="24"/>
        </w:rPr>
        <w:t>Reference</w:t>
      </w:r>
      <w:bookmarkStart w:id="0" w:name="_GoBack"/>
      <w:bookmarkEnd w:id="0"/>
    </w:p>
    <w:p w:rsidR="007F61ED" w:rsidRPr="007F61ED" w:rsidRDefault="007F61ED" w:rsidP="00B32FB2">
      <w:pPr>
        <w:spacing w:after="0" w:line="480" w:lineRule="auto"/>
        <w:ind w:left="720" w:hanging="720"/>
        <w:contextualSpacing/>
        <w:rPr>
          <w:rFonts w:ascii="Times New Roman" w:hAnsi="Times New Roman" w:cs="Times New Roman"/>
          <w:sz w:val="24"/>
          <w:szCs w:val="24"/>
        </w:rPr>
      </w:pPr>
      <w:r w:rsidRPr="007F61ED">
        <w:rPr>
          <w:rFonts w:ascii="Times New Roman" w:hAnsi="Times New Roman" w:cs="Times New Roman"/>
          <w:color w:val="222222"/>
          <w:sz w:val="24"/>
          <w:szCs w:val="24"/>
          <w:shd w:val="clear" w:color="auto" w:fill="FFFFFF"/>
        </w:rPr>
        <w:t>Avadhani, C. L. (2020). Healthcare advertisement (promotion)–ethical and legal issues-Applicability of Indian laws-An analysis. </w:t>
      </w:r>
      <w:r w:rsidRPr="007F61ED">
        <w:rPr>
          <w:rFonts w:ascii="Times New Roman" w:hAnsi="Times New Roman" w:cs="Times New Roman"/>
          <w:i/>
          <w:iCs/>
          <w:color w:val="222222"/>
          <w:sz w:val="24"/>
          <w:szCs w:val="24"/>
          <w:shd w:val="clear" w:color="auto" w:fill="FFFFFF"/>
        </w:rPr>
        <w:t>Asian Journal of Multidimensional Research (AJMR)</w:t>
      </w:r>
      <w:r w:rsidRPr="007F61ED">
        <w:rPr>
          <w:rFonts w:ascii="Times New Roman" w:hAnsi="Times New Roman" w:cs="Times New Roman"/>
          <w:color w:val="222222"/>
          <w:sz w:val="24"/>
          <w:szCs w:val="24"/>
          <w:shd w:val="clear" w:color="auto" w:fill="FFFFFF"/>
        </w:rPr>
        <w:t>, </w:t>
      </w:r>
      <w:r w:rsidRPr="007F61ED">
        <w:rPr>
          <w:rFonts w:ascii="Times New Roman" w:hAnsi="Times New Roman" w:cs="Times New Roman"/>
          <w:i/>
          <w:iCs/>
          <w:color w:val="222222"/>
          <w:sz w:val="24"/>
          <w:szCs w:val="24"/>
          <w:shd w:val="clear" w:color="auto" w:fill="FFFFFF"/>
        </w:rPr>
        <w:t>9</w:t>
      </w:r>
      <w:r w:rsidRPr="007F61ED">
        <w:rPr>
          <w:rFonts w:ascii="Times New Roman" w:hAnsi="Times New Roman" w:cs="Times New Roman"/>
          <w:color w:val="222222"/>
          <w:sz w:val="24"/>
          <w:szCs w:val="24"/>
          <w:shd w:val="clear" w:color="auto" w:fill="FFFFFF"/>
        </w:rPr>
        <w:t>(2), 21-29.</w:t>
      </w:r>
    </w:p>
    <w:p w:rsidR="007F61ED" w:rsidRPr="007F61ED" w:rsidRDefault="007F61ED" w:rsidP="00B32FB2">
      <w:pPr>
        <w:spacing w:after="0" w:line="480" w:lineRule="auto"/>
        <w:ind w:left="720" w:hanging="720"/>
        <w:contextualSpacing/>
        <w:rPr>
          <w:rFonts w:ascii="Times New Roman" w:hAnsi="Times New Roman" w:cs="Times New Roman"/>
          <w:sz w:val="24"/>
          <w:szCs w:val="24"/>
        </w:rPr>
      </w:pPr>
      <w:r w:rsidRPr="007F61ED">
        <w:rPr>
          <w:rFonts w:ascii="Times New Roman" w:hAnsi="Times New Roman" w:cs="Times New Roman"/>
          <w:color w:val="222222"/>
          <w:sz w:val="24"/>
          <w:szCs w:val="24"/>
          <w:shd w:val="clear" w:color="auto" w:fill="FFFFFF"/>
        </w:rPr>
        <w:t>Singh, S. P., Rai, A., Wal, A., Tiwari, G., Tiwari, R., &amp; Parveen, A. (2016). Effect of social media in health care: Uses, risks, and barriers. </w:t>
      </w:r>
      <w:r w:rsidRPr="007F61ED">
        <w:rPr>
          <w:rFonts w:ascii="Times New Roman" w:hAnsi="Times New Roman" w:cs="Times New Roman"/>
          <w:i/>
          <w:iCs/>
          <w:color w:val="222222"/>
          <w:sz w:val="24"/>
          <w:szCs w:val="24"/>
          <w:shd w:val="clear" w:color="auto" w:fill="FFFFFF"/>
        </w:rPr>
        <w:t>World journal of pharmacy and pharmaceutical sciences</w:t>
      </w:r>
      <w:r w:rsidRPr="007F61ED">
        <w:rPr>
          <w:rFonts w:ascii="Times New Roman" w:hAnsi="Times New Roman" w:cs="Times New Roman"/>
          <w:color w:val="222222"/>
          <w:sz w:val="24"/>
          <w:szCs w:val="24"/>
          <w:shd w:val="clear" w:color="auto" w:fill="FFFFFF"/>
        </w:rPr>
        <w:t>, </w:t>
      </w:r>
      <w:r w:rsidRPr="007F61ED">
        <w:rPr>
          <w:rFonts w:ascii="Times New Roman" w:hAnsi="Times New Roman" w:cs="Times New Roman"/>
          <w:i/>
          <w:iCs/>
          <w:color w:val="222222"/>
          <w:sz w:val="24"/>
          <w:szCs w:val="24"/>
          <w:shd w:val="clear" w:color="auto" w:fill="FFFFFF"/>
        </w:rPr>
        <w:t>5</w:t>
      </w:r>
      <w:r w:rsidRPr="007F61ED">
        <w:rPr>
          <w:rFonts w:ascii="Times New Roman" w:hAnsi="Times New Roman" w:cs="Times New Roman"/>
          <w:color w:val="222222"/>
          <w:sz w:val="24"/>
          <w:szCs w:val="24"/>
          <w:shd w:val="clear" w:color="auto" w:fill="FFFFFF"/>
        </w:rPr>
        <w:t>(7), 282-303.</w:t>
      </w:r>
    </w:p>
    <w:sectPr w:rsidR="007F61ED" w:rsidRPr="007F61ED" w:rsidSect="00B32FB2">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342"/>
    <w:rsid w:val="00017A45"/>
    <w:rsid w:val="00192954"/>
    <w:rsid w:val="001C05D6"/>
    <w:rsid w:val="002275A2"/>
    <w:rsid w:val="00254AD4"/>
    <w:rsid w:val="00270176"/>
    <w:rsid w:val="003635A6"/>
    <w:rsid w:val="0040354D"/>
    <w:rsid w:val="00431298"/>
    <w:rsid w:val="004955D1"/>
    <w:rsid w:val="007A5B37"/>
    <w:rsid w:val="007D2342"/>
    <w:rsid w:val="007F61ED"/>
    <w:rsid w:val="008A571E"/>
    <w:rsid w:val="008A7583"/>
    <w:rsid w:val="009F1C84"/>
    <w:rsid w:val="00AA6E1F"/>
    <w:rsid w:val="00B32FB2"/>
    <w:rsid w:val="00BC5929"/>
    <w:rsid w:val="00F75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70B263-D788-4306-B612-A68D55713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2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FB2"/>
  </w:style>
  <w:style w:type="paragraph" w:styleId="Footer">
    <w:name w:val="footer"/>
    <w:basedOn w:val="Normal"/>
    <w:link w:val="FooterChar"/>
    <w:uiPriority w:val="99"/>
    <w:unhideWhenUsed/>
    <w:rsid w:val="00B32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7</cp:revision>
  <dcterms:created xsi:type="dcterms:W3CDTF">2020-09-17T16:20:00Z</dcterms:created>
  <dcterms:modified xsi:type="dcterms:W3CDTF">2020-09-17T16:37:00Z</dcterms:modified>
</cp:coreProperties>
</file>